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279C" w14:textId="77777777" w:rsidR="009A5DE3" w:rsidRPr="0057627F" w:rsidRDefault="009A5DE3" w:rsidP="009A5DE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57627F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Муниципальное казённое учреждение</w:t>
      </w:r>
    </w:p>
    <w:p w14:paraId="538E7B2A" w14:textId="77777777" w:rsidR="009A5DE3" w:rsidRPr="0057627F" w:rsidRDefault="009A5DE3" w:rsidP="009A5DE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57627F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 xml:space="preserve">«Управление образования» </w:t>
      </w:r>
    </w:p>
    <w:p w14:paraId="1C17DEE4" w14:textId="77777777" w:rsidR="009A5DE3" w:rsidRPr="0057627F" w:rsidRDefault="009A5DE3" w:rsidP="009A5DE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57627F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Боханск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ого муниципального</w:t>
      </w:r>
      <w:r w:rsidRPr="0057627F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 xml:space="preserve"> район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а</w:t>
      </w:r>
    </w:p>
    <w:p w14:paraId="5ACE8221" w14:textId="77777777" w:rsidR="009A5DE3" w:rsidRPr="0057627F" w:rsidRDefault="009A5DE3" w:rsidP="009A5DE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57627F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(МКУ УО МО «Боханский район»)</w:t>
      </w:r>
    </w:p>
    <w:p w14:paraId="3F6319C2" w14:textId="77777777" w:rsidR="009A5DE3" w:rsidRPr="0057627F" w:rsidRDefault="009A5DE3" w:rsidP="009A5DE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57627F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ИНН 3849014640, КПП 3849901001, ОКПО 02106263</w:t>
      </w:r>
    </w:p>
    <w:p w14:paraId="57E00549" w14:textId="77777777" w:rsidR="009A5DE3" w:rsidRPr="0057627F" w:rsidRDefault="009A5DE3" w:rsidP="009A5DE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</w:p>
    <w:p w14:paraId="4837AB3E" w14:textId="77777777" w:rsidR="009A5DE3" w:rsidRPr="0057627F" w:rsidRDefault="009A5DE3" w:rsidP="009A5D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 w:rsidRPr="0057627F"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  <w:t>ПРИКАЗ</w:t>
      </w:r>
    </w:p>
    <w:p w14:paraId="1AB14EAE" w14:textId="77777777" w:rsidR="009A5DE3" w:rsidRPr="00492CA1" w:rsidRDefault="009A5DE3" w:rsidP="009A5D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</w:p>
    <w:p w14:paraId="1F2424EE" w14:textId="306855AA" w:rsidR="009A5DE3" w:rsidRPr="00CC5B29" w:rsidRDefault="009A5DE3" w:rsidP="009A5DE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492CA1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«</w:t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 w:eastAsia="zh-CN" w:bidi="hi-IN"/>
        </w:rPr>
        <w:t>30</w:t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»</w:t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августа 202</w:t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 w:eastAsia="zh-CN" w:bidi="hi-IN"/>
        </w:rPr>
        <w:t>3</w:t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 г.</w:t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</w:r>
      <w:r w:rsidRPr="00492CA1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 №</w:t>
      </w:r>
      <w:r w:rsidR="00CC5B29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eastAsia="zh-CN" w:bidi="hi-IN"/>
        </w:rPr>
        <w:t>114/2</w:t>
      </w:r>
    </w:p>
    <w:p w14:paraId="07BE2DE1" w14:textId="77777777" w:rsidR="009A5DE3" w:rsidRPr="00492CA1" w:rsidRDefault="009A5DE3" w:rsidP="009A5DE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 w:eastAsia="zh-CN" w:bidi="hi-IN"/>
        </w:rPr>
      </w:pPr>
    </w:p>
    <w:p w14:paraId="70552182" w14:textId="7538271C" w:rsidR="009A5DE3" w:rsidRPr="00492CA1" w:rsidRDefault="009A5DE3" w:rsidP="009A5DE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Об утверждении Резолюции</w:t>
      </w:r>
    </w:p>
    <w:p w14:paraId="118BC186" w14:textId="23DDB385" w:rsidR="009A5DE3" w:rsidRPr="00492CA1" w:rsidRDefault="009A5DE3" w:rsidP="009A5DE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492CA1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августовской конференции</w:t>
      </w:r>
    </w:p>
    <w:p w14:paraId="5DACB5E7" w14:textId="77777777" w:rsidR="00C972BF" w:rsidRPr="00492CA1" w:rsidRDefault="00C972BF">
      <w:pPr>
        <w:rPr>
          <w:sz w:val="28"/>
          <w:szCs w:val="28"/>
        </w:rPr>
      </w:pPr>
    </w:p>
    <w:p w14:paraId="2CA40141" w14:textId="7BBDE6EA" w:rsidR="009A5DE3" w:rsidRPr="00492CA1" w:rsidRDefault="009A5DE3" w:rsidP="009A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sz w:val="28"/>
          <w:szCs w:val="28"/>
        </w:rPr>
        <w:tab/>
      </w:r>
      <w:r w:rsidRPr="00492CA1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Боханского муниципального района №433 от 25.08.2023г. «О проведении августовской конференции к началу 2023-2024 учебного года», в соответствии с планом работы МКУ УО Боханского муниципального района 29 августа 2023г. </w:t>
      </w:r>
      <w:r w:rsidR="00492CA1" w:rsidRPr="00492CA1">
        <w:rPr>
          <w:rFonts w:ascii="Times New Roman" w:hAnsi="Times New Roman" w:cs="Times New Roman"/>
          <w:sz w:val="28"/>
          <w:szCs w:val="28"/>
        </w:rPr>
        <w:t xml:space="preserve">состоялась традиционная августовская конференция работников образования «Единое образовательное пространство как механизм развития муниципальной системы образования». По результатам конференции была принята Резолюция конференции. На основании вышеизложенного </w:t>
      </w:r>
    </w:p>
    <w:p w14:paraId="0A759F15" w14:textId="77777777" w:rsidR="00492CA1" w:rsidRPr="00492CA1" w:rsidRDefault="00492CA1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BC92D8" w14:textId="7ADC50FA" w:rsidR="00492CA1" w:rsidRPr="00492CA1" w:rsidRDefault="00492CA1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E58A4D6" w14:textId="77777777" w:rsidR="00492CA1" w:rsidRPr="00492CA1" w:rsidRDefault="00492CA1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1DAE1A" w14:textId="50B0074B" w:rsidR="00492CA1" w:rsidRPr="00492CA1" w:rsidRDefault="00492CA1" w:rsidP="00492C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Утвердить Резолюцию августовской конференции педагогических работников Боханского муниципального района «Единое образовательное пространство как механизм развития муниципальной системы образования» в соответствии с приложением 1.</w:t>
      </w:r>
    </w:p>
    <w:p w14:paraId="0CE32B74" w14:textId="16A50A7D" w:rsidR="00492CA1" w:rsidRPr="00492CA1" w:rsidRDefault="00492CA1" w:rsidP="00492C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Руководителям ОО при планировании своей работы на 2023-2024 учебный год использовать в работе Резолюцию конференции.</w:t>
      </w:r>
    </w:p>
    <w:p w14:paraId="36859EE5" w14:textId="096052BE" w:rsidR="00492CA1" w:rsidRPr="00492CA1" w:rsidRDefault="00492CA1" w:rsidP="00492C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3E990939" w14:textId="77777777" w:rsidR="00492CA1" w:rsidRPr="00492CA1" w:rsidRDefault="00492CA1" w:rsidP="00492C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6049B9" w14:textId="77777777" w:rsidR="00492CA1" w:rsidRPr="00492CA1" w:rsidRDefault="00492CA1" w:rsidP="00492C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2ACCF2" w14:textId="63CC4568" w:rsidR="00492CA1" w:rsidRDefault="00492CA1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2CA1">
        <w:rPr>
          <w:rFonts w:ascii="Times New Roman" w:hAnsi="Times New Roman" w:cs="Times New Roman"/>
          <w:sz w:val="28"/>
          <w:szCs w:val="28"/>
        </w:rPr>
        <w:t>Начальник:</w:t>
      </w:r>
      <w:r w:rsidR="003A447C">
        <w:rPr>
          <w:rFonts w:ascii="Times New Roman" w:hAnsi="Times New Roman" w:cs="Times New Roman"/>
          <w:sz w:val="28"/>
          <w:szCs w:val="28"/>
        </w:rPr>
        <w:t xml:space="preserve"> </w:t>
      </w:r>
      <w:r w:rsidRPr="00492CA1">
        <w:rPr>
          <w:rFonts w:ascii="Times New Roman" w:hAnsi="Times New Roman" w:cs="Times New Roman"/>
          <w:sz w:val="28"/>
          <w:szCs w:val="28"/>
        </w:rPr>
        <w:tab/>
      </w:r>
      <w:r w:rsidR="003A447C" w:rsidRPr="0099116F">
        <w:rPr>
          <w:noProof/>
        </w:rPr>
        <w:drawing>
          <wp:inline distT="0" distB="0" distL="0" distR="0" wp14:anchorId="32C836BB" wp14:editId="45E88471">
            <wp:extent cx="647700" cy="323850"/>
            <wp:effectExtent l="19050" t="0" r="0" b="0"/>
            <wp:docPr id="2" name="Рисунок 1" descr="C:\Users\KEG\AppData\Local\Temp\подпись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G\AppData\Local\Temp\подпись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C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2CA1">
        <w:rPr>
          <w:rFonts w:ascii="Times New Roman" w:hAnsi="Times New Roman" w:cs="Times New Roman"/>
          <w:sz w:val="28"/>
          <w:szCs w:val="28"/>
        </w:rPr>
        <w:t>Л.С.Буяева</w:t>
      </w:r>
      <w:proofErr w:type="spellEnd"/>
      <w:r w:rsidRPr="00492CA1">
        <w:rPr>
          <w:rFonts w:ascii="Times New Roman" w:hAnsi="Times New Roman" w:cs="Times New Roman"/>
          <w:sz w:val="28"/>
          <w:szCs w:val="28"/>
        </w:rPr>
        <w:t>.</w:t>
      </w:r>
    </w:p>
    <w:p w14:paraId="59ED0BA2" w14:textId="77777777" w:rsidR="00597DA0" w:rsidRDefault="00597DA0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8690A0" w14:textId="77777777" w:rsidR="00597DA0" w:rsidRDefault="00597DA0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25F205" w14:textId="77777777" w:rsidR="00597DA0" w:rsidRDefault="00597DA0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AED0CA" w14:textId="77777777" w:rsidR="00597DA0" w:rsidRDefault="00597DA0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A0F597" w14:textId="77777777" w:rsidR="00597DA0" w:rsidRDefault="00597DA0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7D25FC" w14:textId="77777777" w:rsidR="00597DA0" w:rsidRDefault="00597DA0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D97D45" w14:textId="77777777" w:rsidR="00597DA0" w:rsidRDefault="00597DA0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1CB7C6" w14:textId="77777777" w:rsidR="00597DA0" w:rsidRDefault="00597DA0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D664B0" w14:textId="77777777" w:rsidR="00597DA0" w:rsidRDefault="00597DA0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9FB427" w14:textId="77777777" w:rsidR="00597DA0" w:rsidRPr="006F0ABE" w:rsidRDefault="00597DA0" w:rsidP="00597D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ab/>
      </w: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14:paraId="5CCF291D" w14:textId="77777777" w:rsidR="00597DA0" w:rsidRPr="006F0ABE" w:rsidRDefault="00597DA0" w:rsidP="00597D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к приказу 114/</w:t>
      </w:r>
      <w:proofErr w:type="gramStart"/>
      <w:r w:rsidRPr="006F0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августа 2023г.</w:t>
      </w:r>
    </w:p>
    <w:p w14:paraId="12691B93" w14:textId="77777777" w:rsidR="00597DA0" w:rsidRPr="00571596" w:rsidRDefault="00597DA0" w:rsidP="00597D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53884D" w14:textId="77777777" w:rsidR="00597DA0" w:rsidRPr="00571596" w:rsidRDefault="00597DA0" w:rsidP="00597D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</w:t>
      </w:r>
    </w:p>
    <w:p w14:paraId="50A0F120" w14:textId="77777777" w:rsidR="00597DA0" w:rsidRPr="00571596" w:rsidRDefault="00597DA0" w:rsidP="00597D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1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традиционной августовской конференции педагогических работников Боханского муниципального района</w:t>
      </w:r>
    </w:p>
    <w:p w14:paraId="494F3BD4" w14:textId="77777777" w:rsidR="00597DA0" w:rsidRPr="00571596" w:rsidRDefault="00597DA0" w:rsidP="00597D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596">
        <w:rPr>
          <w:rFonts w:ascii="Times New Roman" w:hAnsi="Times New Roman" w:cs="Times New Roman"/>
          <w:b/>
          <w:bCs/>
          <w:sz w:val="28"/>
          <w:szCs w:val="28"/>
        </w:rPr>
        <w:t>«Единое образовательное пространство как механизм развития муниципальной системы образования»</w:t>
      </w:r>
    </w:p>
    <w:p w14:paraId="7FB720BC" w14:textId="77777777" w:rsidR="00597DA0" w:rsidRPr="00571596" w:rsidRDefault="00597DA0" w:rsidP="00597D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FBBA4" w14:textId="77777777" w:rsidR="00597DA0" w:rsidRPr="00571596" w:rsidRDefault="00597DA0" w:rsidP="0059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29 августа 2023г.</w:t>
      </w:r>
      <w:r w:rsidRPr="0057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 Бохан</w:t>
      </w:r>
    </w:p>
    <w:p w14:paraId="6C7E596B" w14:textId="77777777" w:rsidR="00597DA0" w:rsidRPr="00571596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394BB7" w14:textId="77777777" w:rsidR="00597DA0" w:rsidRPr="00571596" w:rsidRDefault="00597DA0" w:rsidP="00597D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596">
        <w:rPr>
          <w:rFonts w:ascii="Times New Roman" w:hAnsi="Times New Roman" w:cs="Times New Roman"/>
          <w:sz w:val="28"/>
          <w:szCs w:val="28"/>
        </w:rPr>
        <w:t>На традиционной августовской конференции  работников системы образования «Единое образовательное пространство как механизм развития муниципальной системы образования» приняли участие более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1596">
        <w:rPr>
          <w:rFonts w:ascii="Times New Roman" w:hAnsi="Times New Roman" w:cs="Times New Roman"/>
          <w:sz w:val="28"/>
          <w:szCs w:val="28"/>
        </w:rPr>
        <w:t>0 педагогических работников, руководители муниципальных образовательных учреждений, руководители и специалисты Управления образования, представители Администрации Боханского муниципального района, представители Боханской районной организации Общероссийского Профсоюза образования,  главы сельских поселений, средств массовой информации.</w:t>
      </w:r>
    </w:p>
    <w:p w14:paraId="1F1A9069" w14:textId="77777777" w:rsidR="00597DA0" w:rsidRPr="00571596" w:rsidRDefault="00597DA0" w:rsidP="00597D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596">
        <w:rPr>
          <w:rFonts w:ascii="Times New Roman" w:hAnsi="Times New Roman" w:cs="Times New Roman"/>
          <w:sz w:val="28"/>
          <w:szCs w:val="28"/>
        </w:rPr>
        <w:t>В рамках августовской конференции были проведены заседания 12 секций в ходе заседаний которых были рассмотрены вопросы реализуемые современной системой образования: внедрение обновленных ФГОС НОО и ФГОС ООО, ФГОС СОО, ФООП,  повышение качества образования, формирование воспитательного потенциала в школах, обновление мероприятий направленных на совершенствование профориентационной работы, обеспечение работы по наставничеству и многое другое.</w:t>
      </w:r>
    </w:p>
    <w:p w14:paraId="5922D952" w14:textId="77777777" w:rsidR="00597DA0" w:rsidRDefault="00597DA0" w:rsidP="00597D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1596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доклад начальника Управления образования </w:t>
      </w:r>
      <w:proofErr w:type="spellStart"/>
      <w:r w:rsidRPr="00571596">
        <w:rPr>
          <w:rFonts w:ascii="Times New Roman" w:hAnsi="Times New Roman" w:cs="Times New Roman"/>
          <w:sz w:val="28"/>
          <w:szCs w:val="28"/>
          <w:lang w:eastAsia="ru-RU"/>
        </w:rPr>
        <w:t>Буяевой</w:t>
      </w:r>
      <w:proofErr w:type="spellEnd"/>
      <w:r w:rsidRPr="00571596">
        <w:rPr>
          <w:rFonts w:ascii="Times New Roman" w:hAnsi="Times New Roman" w:cs="Times New Roman"/>
          <w:sz w:val="28"/>
          <w:szCs w:val="28"/>
          <w:lang w:eastAsia="ru-RU"/>
        </w:rPr>
        <w:t xml:space="preserve"> Ларисы </w:t>
      </w:r>
      <w:proofErr w:type="spellStart"/>
      <w:r w:rsidRPr="00571596">
        <w:rPr>
          <w:rFonts w:ascii="Times New Roman" w:hAnsi="Times New Roman" w:cs="Times New Roman"/>
          <w:sz w:val="28"/>
          <w:szCs w:val="28"/>
          <w:lang w:eastAsia="ru-RU"/>
        </w:rPr>
        <w:t>Савватеевны</w:t>
      </w:r>
      <w:proofErr w:type="spellEnd"/>
      <w:r w:rsidRPr="00571596">
        <w:rPr>
          <w:rFonts w:ascii="Times New Roman" w:hAnsi="Times New Roman" w:cs="Times New Roman"/>
          <w:sz w:val="28"/>
          <w:szCs w:val="28"/>
          <w:lang w:eastAsia="ru-RU"/>
        </w:rPr>
        <w:t>, обсудив проблемы, актуальное состояние и перспективы развития системы образования в Боханском районе на заседаниях секций, участники конференции одобрили ключевые стратегические ориентиры, приоритетные задачи на 2023-2024 учебный год реализация которых должна быть обеспечена на всех уровнях образования района:</w:t>
      </w:r>
    </w:p>
    <w:p w14:paraId="28F7FC14" w14:textId="77777777" w:rsidR="00597DA0" w:rsidRPr="00BC667E" w:rsidRDefault="00597DA0" w:rsidP="00597D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67E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доклад начальника Управления образования </w:t>
      </w:r>
      <w:proofErr w:type="spellStart"/>
      <w:r w:rsidRPr="00BC667E">
        <w:rPr>
          <w:rFonts w:ascii="Times New Roman" w:hAnsi="Times New Roman" w:cs="Times New Roman"/>
          <w:sz w:val="28"/>
          <w:szCs w:val="28"/>
          <w:lang w:eastAsia="ru-RU"/>
        </w:rPr>
        <w:t>Буяевой</w:t>
      </w:r>
      <w:proofErr w:type="spellEnd"/>
      <w:r w:rsidRPr="00BC667E">
        <w:rPr>
          <w:rFonts w:ascii="Times New Roman" w:hAnsi="Times New Roman" w:cs="Times New Roman"/>
          <w:sz w:val="28"/>
          <w:szCs w:val="28"/>
          <w:lang w:eastAsia="ru-RU"/>
        </w:rPr>
        <w:t xml:space="preserve"> Ларисы </w:t>
      </w:r>
      <w:proofErr w:type="spellStart"/>
      <w:r w:rsidRPr="00BC667E">
        <w:rPr>
          <w:rFonts w:ascii="Times New Roman" w:hAnsi="Times New Roman" w:cs="Times New Roman"/>
          <w:sz w:val="28"/>
          <w:szCs w:val="28"/>
          <w:lang w:eastAsia="ru-RU"/>
        </w:rPr>
        <w:t>Савватеевны</w:t>
      </w:r>
      <w:proofErr w:type="spellEnd"/>
      <w:r w:rsidRPr="00BC667E">
        <w:rPr>
          <w:rFonts w:ascii="Times New Roman" w:hAnsi="Times New Roman" w:cs="Times New Roman"/>
          <w:sz w:val="28"/>
          <w:szCs w:val="28"/>
          <w:lang w:eastAsia="ru-RU"/>
        </w:rPr>
        <w:t>, обсудив проблемы, актуальное состояние и перспективы развития системы образования в Боханском районе на заседаниях секций, участники конференции одобрили ключевые стратегические ориентиры, приоритетные задачи на 2023-2024 учебный год реализация которых должна быть обеспечена на всех уровнях образования района:</w:t>
      </w:r>
    </w:p>
    <w:p w14:paraId="4C8E4436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 xml:space="preserve">- реализация обновленных ФГОС НОО, ФГОС ООО и ФГОС СОО; </w:t>
      </w:r>
    </w:p>
    <w:p w14:paraId="08DBA742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>- реализация ФОП дошкольного образования и ФООП общего образования, в том числе реализация федеральных рабочих программ;</w:t>
      </w:r>
    </w:p>
    <w:p w14:paraId="6DAC4812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функциональной грамотности (читательской, математической, естественнонаучной, финансовой грамотности, креативного мышления, глобальных компетенций), через использование банка заданий </w:t>
      </w:r>
      <w:r w:rsidRPr="00BC667E">
        <w:rPr>
          <w:rFonts w:ascii="Times New Roman" w:hAnsi="Times New Roman" w:cs="Times New Roman"/>
          <w:sz w:val="28"/>
          <w:szCs w:val="28"/>
        </w:rPr>
        <w:lastRenderedPageBreak/>
        <w:t>Российской электронной школы и других цифровых образовательных ресурсов;</w:t>
      </w:r>
    </w:p>
    <w:p w14:paraId="0555C41E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>- обеспечение преемственности всех уровней образования через построение единой содержательной линии, обеспечивающей эффективное поступательное развитие ребёнка, его успешный переход на следующий уровень образования;</w:t>
      </w:r>
    </w:p>
    <w:p w14:paraId="465163D4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 xml:space="preserve">- обеспечение участия общеобразовательных организаций в проекте </w:t>
      </w:r>
      <w:proofErr w:type="spellStart"/>
      <w:r w:rsidRPr="00BC66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C667E">
        <w:rPr>
          <w:rFonts w:ascii="Times New Roman" w:hAnsi="Times New Roman" w:cs="Times New Roman"/>
          <w:sz w:val="28"/>
          <w:szCs w:val="28"/>
        </w:rPr>
        <w:t xml:space="preserve"> России; </w:t>
      </w:r>
    </w:p>
    <w:p w14:paraId="3B6F86F2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 xml:space="preserve">- обеспечение организационно-методического сопровождения общеобразовательных организаций в части реализации мер по формированию объективной системы оценки качества образования; </w:t>
      </w:r>
      <w:bookmarkStart w:id="0" w:name="_Hlk110868231"/>
    </w:p>
    <w:bookmarkEnd w:id="0"/>
    <w:p w14:paraId="4098BDF7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>- обеспечение</w:t>
      </w:r>
      <w:r w:rsidRPr="00BC66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667E">
        <w:rPr>
          <w:rFonts w:ascii="Times New Roman" w:hAnsi="Times New Roman" w:cs="Times New Roman"/>
          <w:sz w:val="28"/>
          <w:szCs w:val="28"/>
        </w:rPr>
        <w:t>совершенствования механизмов работы со школами с низкими результатами и школами, функционирующими в условиях риска снижения образовательных результатов;</w:t>
      </w:r>
    </w:p>
    <w:p w14:paraId="3EBC9495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 xml:space="preserve">- обеспечить условия по качеству подготовки выпускников 9,11-х классов к государственной итоговой аттестации через совершенствование предметных компетенций педагогов в том числе на уровне районных методических объединений учителей - предметников; </w:t>
      </w:r>
    </w:p>
    <w:p w14:paraId="639CE886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 xml:space="preserve">- совершенствовать систему работы по выявлению и развитию одаренных детей, стимулированию и поощрению способных и талантливых детей и молодежи; </w:t>
      </w:r>
    </w:p>
    <w:p w14:paraId="15915910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 xml:space="preserve"> - обеспечить содействие непрерывного повышения профессионального мастерства педагогических кадров, применяющих в работе высокоэффективные современные технологии;</w:t>
      </w:r>
    </w:p>
    <w:p w14:paraId="0412825F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>- осуществлять методическое сопровождение деятельности общеобразовательных организаций с родным языком обучения с учётом специфики муниципалитета;</w:t>
      </w:r>
    </w:p>
    <w:p w14:paraId="55203BE5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 xml:space="preserve"> - обеспечить информирование педагогических работников образовательных организаций, обучающихся и их родителей об актуальных возможностях федеральной государственной информационной системы «Моя школа» и оказывать им необходимое информационно-консультационное содействие по вопросам регистрации в ней и использования ее сервисов в образовательном процессе;</w:t>
      </w:r>
    </w:p>
    <w:p w14:paraId="50A6A1AC" w14:textId="77777777" w:rsidR="00597DA0" w:rsidRPr="00BC667E" w:rsidRDefault="00597DA0" w:rsidP="00597DA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67E">
        <w:rPr>
          <w:rFonts w:ascii="Times New Roman" w:hAnsi="Times New Roman" w:cs="Times New Roman"/>
          <w:sz w:val="28"/>
          <w:szCs w:val="28"/>
        </w:rPr>
        <w:t>- создать условия для осознанного выбора дальнейшей траектории обучения выпускниками, усилив работу по мотивации обучающихся 9-11-х классов при выборе экзаменационных предметов с учетом профиля, направленности реализуемых программ через обеспечение реализации регионального проекта «Успех каждого ребенка», в том числе в части выполнения целевого показателя о количестве участников: проекта «Билет в будущее»; открытых онлайн-уроков, реализуемых с учетом опыта цикла открытых уроков «</w:t>
      </w:r>
      <w:proofErr w:type="spellStart"/>
      <w:r w:rsidRPr="00BC667E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BC667E">
        <w:rPr>
          <w:rFonts w:ascii="Times New Roman" w:hAnsi="Times New Roman" w:cs="Times New Roman"/>
          <w:sz w:val="28"/>
          <w:szCs w:val="28"/>
        </w:rPr>
        <w:t xml:space="preserve">», а так же  </w:t>
      </w:r>
      <w:r w:rsidRPr="00BC667E">
        <w:rPr>
          <w:rFonts w:ascii="Times New Roman" w:eastAsia="Calibri" w:hAnsi="Times New Roman" w:cs="Times New Roman"/>
          <w:sz w:val="28"/>
          <w:szCs w:val="28"/>
        </w:rPr>
        <w:t xml:space="preserve">обеспечить реализацию утвержденного плана профориентационной работы в соответствии с уровнем </w:t>
      </w:r>
      <w:proofErr w:type="spellStart"/>
      <w:r w:rsidRPr="00BC667E">
        <w:rPr>
          <w:rFonts w:ascii="Times New Roman" w:eastAsia="Calibri" w:hAnsi="Times New Roman" w:cs="Times New Roman"/>
          <w:sz w:val="28"/>
          <w:szCs w:val="28"/>
        </w:rPr>
        <w:t>профминимума</w:t>
      </w:r>
      <w:proofErr w:type="spellEnd"/>
      <w:r w:rsidRPr="00BC667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952964" w14:textId="77777777" w:rsidR="00597DA0" w:rsidRPr="00BC667E" w:rsidRDefault="00597DA0" w:rsidP="00597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eastAsia="Calibri" w:hAnsi="Times New Roman" w:cs="Times New Roman"/>
          <w:sz w:val="28"/>
          <w:szCs w:val="28"/>
        </w:rPr>
        <w:t xml:space="preserve">- активизировать работу по созданию условий деятельности детских общественных объединений: «Орлята России», Школьные спортивные клубы, «Движение первых», </w:t>
      </w:r>
      <w:proofErr w:type="gramStart"/>
      <w:r w:rsidRPr="00BC667E">
        <w:rPr>
          <w:rFonts w:ascii="Times New Roman" w:eastAsia="Calibri" w:hAnsi="Times New Roman" w:cs="Times New Roman"/>
          <w:sz w:val="28"/>
          <w:szCs w:val="28"/>
        </w:rPr>
        <w:t>РДДМ,  и</w:t>
      </w:r>
      <w:proofErr w:type="gramEnd"/>
      <w:r w:rsidRPr="00BC667E">
        <w:rPr>
          <w:rFonts w:ascii="Times New Roman" w:eastAsia="Calibri" w:hAnsi="Times New Roman" w:cs="Times New Roman"/>
          <w:sz w:val="28"/>
          <w:szCs w:val="28"/>
        </w:rPr>
        <w:t xml:space="preserve"> др. </w:t>
      </w:r>
    </w:p>
    <w:p w14:paraId="06F4925D" w14:textId="77777777" w:rsidR="00597DA0" w:rsidRPr="00492CA1" w:rsidRDefault="00597DA0" w:rsidP="00492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97DA0" w:rsidRPr="004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Klee One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B12B5C"/>
    <w:multiLevelType w:val="hybridMultilevel"/>
    <w:tmpl w:val="7F5C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1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41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E3"/>
    <w:rsid w:val="003A447C"/>
    <w:rsid w:val="00492CA1"/>
    <w:rsid w:val="00597DA0"/>
    <w:rsid w:val="00720ADB"/>
    <w:rsid w:val="007341E8"/>
    <w:rsid w:val="009A5DE3"/>
    <w:rsid w:val="00C972BF"/>
    <w:rsid w:val="00CC5B29"/>
    <w:rsid w:val="00E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B73"/>
  <w15:chartTrackingRefBased/>
  <w15:docId w15:val="{0665BFB2-2859-4CA5-8DFE-DE585922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DE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DE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 Бальжитова</dc:creator>
  <cp:keywords/>
  <dc:description/>
  <cp:lastModifiedBy>Оюна Бальжитова</cp:lastModifiedBy>
  <cp:revision>4</cp:revision>
  <cp:lastPrinted>2023-08-30T04:33:00Z</cp:lastPrinted>
  <dcterms:created xsi:type="dcterms:W3CDTF">2023-08-30T03:47:00Z</dcterms:created>
  <dcterms:modified xsi:type="dcterms:W3CDTF">2024-11-28T08:00:00Z</dcterms:modified>
</cp:coreProperties>
</file>